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3976A2B3" w:rsidR="001E3E65" w:rsidRPr="00CE154B"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54298A">
        <w:rPr>
          <w:rFonts w:eastAsia="맑은 고딕" w:cs="Arial"/>
          <w:b/>
          <w:noProof/>
          <w:color w:val="000000"/>
          <w:sz w:val="24"/>
          <w:lang w:eastAsia="ko-KR"/>
        </w:rPr>
        <w:t>4</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8A4132">
        <w:rPr>
          <w:rFonts w:eastAsia="맑은 고딕" w:cs="Arial"/>
          <w:b/>
          <w:i/>
          <w:noProof/>
          <w:color w:val="000000"/>
          <w:sz w:val="24"/>
          <w:szCs w:val="32"/>
          <w:lang w:eastAsia="ko-KR"/>
        </w:rPr>
        <w:t>13266</w:t>
      </w:r>
    </w:p>
    <w:p w14:paraId="6AD66C79" w14:textId="5C0F05A7" w:rsidR="001E3E65" w:rsidRPr="003A080C" w:rsidRDefault="0071598B"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Chicago</w:t>
      </w:r>
      <w:r>
        <w:rPr>
          <w:b/>
          <w:sz w:val="24"/>
          <w:szCs w:val="24"/>
          <w:lang w:val="en-US"/>
        </w:rPr>
        <w:t xml:space="preserve">, </w:t>
      </w:r>
      <w:r w:rsidRPr="0071598B">
        <w:rPr>
          <w:rFonts w:hint="eastAsia"/>
          <w:b/>
          <w:sz w:val="24"/>
          <w:szCs w:val="24"/>
          <w:lang w:val="en-US"/>
        </w:rPr>
        <w:t xml:space="preserve">USA, </w:t>
      </w:r>
      <w:r w:rsidR="0054298A">
        <w:rPr>
          <w:b/>
          <w:sz w:val="24"/>
          <w:szCs w:val="24"/>
          <w:lang w:val="en-US"/>
        </w:rPr>
        <w:t>13</w:t>
      </w:r>
      <w:r w:rsidR="00F51382">
        <w:rPr>
          <w:b/>
          <w:sz w:val="24"/>
          <w:szCs w:val="24"/>
          <w:lang w:val="en-US"/>
        </w:rPr>
        <w:t xml:space="preserve"> </w:t>
      </w:r>
      <w:r w:rsidR="0054298A">
        <w:rPr>
          <w:b/>
          <w:sz w:val="24"/>
          <w:szCs w:val="24"/>
          <w:lang w:val="en-US"/>
        </w:rPr>
        <w:t>Nov</w:t>
      </w:r>
      <w:r w:rsidR="00F51382">
        <w:rPr>
          <w:b/>
          <w:sz w:val="24"/>
          <w:szCs w:val="24"/>
          <w:lang w:val="en-US"/>
        </w:rPr>
        <w:t xml:space="preserve"> – </w:t>
      </w:r>
      <w:r w:rsidR="00CE154B">
        <w:rPr>
          <w:b/>
          <w:sz w:val="24"/>
          <w:szCs w:val="24"/>
          <w:lang w:val="en-US"/>
        </w:rPr>
        <w:t>1</w:t>
      </w:r>
      <w:r w:rsidR="0054298A">
        <w:rPr>
          <w:b/>
          <w:sz w:val="24"/>
          <w:szCs w:val="24"/>
          <w:lang w:val="en-US"/>
        </w:rPr>
        <w:t>7</w:t>
      </w:r>
      <w:r w:rsidR="00F51382">
        <w:rPr>
          <w:b/>
          <w:sz w:val="24"/>
          <w:szCs w:val="24"/>
          <w:lang w:val="en-US"/>
        </w:rPr>
        <w:t xml:space="preserve"> </w:t>
      </w:r>
      <w:r w:rsidR="0054298A">
        <w:rPr>
          <w:b/>
          <w:sz w:val="24"/>
          <w:szCs w:val="24"/>
          <w:lang w:val="en-US"/>
        </w:rPr>
        <w:t>N</w:t>
      </w:r>
      <w:bookmarkStart w:id="0" w:name="_GoBack"/>
      <w:bookmarkEnd w:id="0"/>
      <w:r w:rsidR="0054298A">
        <w:rPr>
          <w:b/>
          <w:sz w:val="24"/>
          <w:szCs w:val="24"/>
          <w:lang w:val="en-US"/>
        </w:rPr>
        <w:t>ov</w:t>
      </w:r>
      <w:r w:rsidR="00F51382">
        <w:rPr>
          <w:b/>
          <w:sz w:val="24"/>
          <w:szCs w:val="24"/>
          <w:lang w:val="en-US"/>
        </w:rPr>
        <w:t>, 2023</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597A9CF"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w:t>
      </w:r>
      <w:r w:rsidR="00CE154B">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28BA8AA8"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382F19" w:rsidRPr="00382F19">
        <w:rPr>
          <w:rFonts w:ascii="Arial" w:hAnsi="Arial" w:cs="Arial"/>
          <w:b/>
          <w:noProof/>
          <w:sz w:val="28"/>
          <w:szCs w:val="28"/>
          <w:lang w:val="en-US" w:eastAsia="ko-KR"/>
        </w:rPr>
        <w:t xml:space="preserve">Discussion on </w:t>
      </w:r>
      <w:r w:rsidR="00CE154B">
        <w:rPr>
          <w:rFonts w:ascii="Arial" w:hAnsi="Arial" w:cs="Arial"/>
          <w:b/>
          <w:noProof/>
          <w:sz w:val="28"/>
          <w:szCs w:val="28"/>
          <w:lang w:val="en-US" w:eastAsia="ko-KR"/>
        </w:rPr>
        <w:t xml:space="preserve">remaining issues </w:t>
      </w:r>
      <w:r w:rsidR="0054298A">
        <w:rPr>
          <w:rFonts w:ascii="Arial" w:hAnsi="Arial" w:cs="Arial"/>
          <w:b/>
          <w:noProof/>
          <w:sz w:val="28"/>
          <w:szCs w:val="28"/>
          <w:lang w:val="en-US" w:eastAsia="ko-KR"/>
        </w:rPr>
        <w:t>for</w:t>
      </w:r>
      <w:r w:rsidR="00CE154B">
        <w:rPr>
          <w:rFonts w:ascii="Arial" w:hAnsi="Arial" w:cs="Arial"/>
          <w:b/>
          <w:noProof/>
          <w:sz w:val="28"/>
          <w:szCs w:val="28"/>
          <w:lang w:val="en-US" w:eastAsia="ko-KR"/>
        </w:rPr>
        <w:t xml:space="preserve"> SL-U</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518DC4E8" w:rsidR="00E6599F" w:rsidRPr="003A080C" w:rsidRDefault="00F51382" w:rsidP="00237E54">
      <w:pPr>
        <w:rPr>
          <w:lang w:val="en-US" w:eastAsia="ko-KR"/>
        </w:rPr>
      </w:pPr>
      <w:r>
        <w:rPr>
          <w:lang w:val="en-US" w:eastAsia="ko-KR"/>
        </w:rPr>
        <w:t xml:space="preserve">This contribution </w:t>
      </w:r>
      <w:r w:rsidR="00CE154B">
        <w:rPr>
          <w:lang w:val="en-US" w:eastAsia="ko-KR"/>
        </w:rPr>
        <w:t>discusses the remaining issues</w:t>
      </w:r>
      <w:r>
        <w:rPr>
          <w:lang w:val="en-US" w:eastAsia="ko-KR"/>
        </w:rPr>
        <w:t xml:space="preserve"> </w:t>
      </w:r>
      <w:r w:rsidR="0054298A">
        <w:rPr>
          <w:lang w:val="en-US" w:eastAsia="ko-KR"/>
        </w:rPr>
        <w:t xml:space="preserve">on </w:t>
      </w:r>
      <w:proofErr w:type="spellStart"/>
      <w:r w:rsidR="0054298A">
        <w:rPr>
          <w:lang w:val="en-US" w:eastAsia="ko-KR"/>
        </w:rPr>
        <w:t>MCSt</w:t>
      </w:r>
      <w:proofErr w:type="spellEnd"/>
      <w:r w:rsidR="0054298A">
        <w:rPr>
          <w:lang w:val="en-US" w:eastAsia="ko-KR"/>
        </w:rPr>
        <w:t xml:space="preserve"> for</w:t>
      </w:r>
      <w:r w:rsidR="00CE154B">
        <w:rPr>
          <w:lang w:val="en-US" w:eastAsia="ko-KR"/>
        </w:rPr>
        <w:t xml:space="preserve"> SL-U</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5D5FE2E4" w14:textId="1FA31B21" w:rsidR="00CE154B" w:rsidRPr="00CE154B" w:rsidRDefault="00CE154B" w:rsidP="00CE154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t>2.</w:t>
      </w:r>
      <w:r w:rsidR="0054298A">
        <w:rPr>
          <w:rFonts w:eastAsia="맑은 고딕"/>
          <w:sz w:val="28"/>
          <w:szCs w:val="28"/>
          <w:lang w:eastAsia="ko-KR"/>
        </w:rPr>
        <w:t>1</w:t>
      </w:r>
      <w:r w:rsidRPr="00CE154B">
        <w:rPr>
          <w:rFonts w:eastAsia="맑은 고딕"/>
          <w:sz w:val="28"/>
          <w:szCs w:val="28"/>
          <w:lang w:eastAsia="ko-KR"/>
        </w:rPr>
        <w:t xml:space="preserve"> </w:t>
      </w:r>
      <w:r w:rsidRPr="00CE154B">
        <w:rPr>
          <w:sz w:val="28"/>
          <w:szCs w:val="28"/>
        </w:rPr>
        <w:t xml:space="preserve">E-LCP impact on </w:t>
      </w:r>
      <w:r w:rsidR="00C94051">
        <w:rPr>
          <w:sz w:val="28"/>
          <w:szCs w:val="28"/>
        </w:rPr>
        <w:t xml:space="preserve">COT pause </w:t>
      </w:r>
      <w:r w:rsidR="001B7B43">
        <w:rPr>
          <w:rFonts w:hint="eastAsia"/>
          <w:sz w:val="28"/>
          <w:szCs w:val="28"/>
          <w:lang w:eastAsia="ko-KR"/>
        </w:rPr>
        <w:t xml:space="preserve">and </w:t>
      </w:r>
      <w:r w:rsidR="001B7B43">
        <w:rPr>
          <w:sz w:val="28"/>
          <w:szCs w:val="28"/>
        </w:rPr>
        <w:t xml:space="preserve">COT resume </w:t>
      </w:r>
      <w:r w:rsidR="0054298A">
        <w:rPr>
          <w:sz w:val="28"/>
          <w:szCs w:val="28"/>
        </w:rPr>
        <w:t>case</w:t>
      </w:r>
    </w:p>
    <w:p w14:paraId="3E1F09B9" w14:textId="77777777" w:rsidR="001B7B43" w:rsidRPr="001B7B43" w:rsidRDefault="001B7B43" w:rsidP="001B7B43">
      <w:pPr>
        <w:jc w:val="both"/>
        <w:rPr>
          <w:rFonts w:ascii="Arial" w:hAnsi="Arial" w:cs="Arial"/>
          <w:lang w:eastAsia="ko-KR"/>
        </w:rPr>
      </w:pPr>
      <w:r w:rsidRPr="001B7B43">
        <w:rPr>
          <w:rFonts w:ascii="Arial" w:hAnsi="Arial" w:cs="Arial"/>
          <w:lang w:eastAsia="ko-KR"/>
        </w:rPr>
        <w:t xml:space="preserve">RAN2 agreed on UE applying E-LCP in the shared COT case and </w:t>
      </w:r>
      <w:proofErr w:type="spellStart"/>
      <w:r w:rsidRPr="001B7B43">
        <w:rPr>
          <w:rFonts w:ascii="Arial" w:hAnsi="Arial" w:cs="Arial"/>
          <w:lang w:eastAsia="ko-KR"/>
        </w:rPr>
        <w:t>MCSt</w:t>
      </w:r>
      <w:proofErr w:type="spellEnd"/>
      <w:r w:rsidRPr="001B7B43">
        <w:rPr>
          <w:rFonts w:ascii="Arial" w:hAnsi="Arial" w:cs="Arial"/>
          <w:lang w:eastAsia="ko-KR"/>
        </w:rPr>
        <w:t xml:space="preserve"> case.</w:t>
      </w:r>
    </w:p>
    <w:p w14:paraId="40994EFF" w14:textId="7FA77D9B" w:rsidR="00C94051" w:rsidRDefault="001B7B43" w:rsidP="001B7B43">
      <w:pPr>
        <w:jc w:val="both"/>
        <w:rPr>
          <w:rFonts w:ascii="Arial" w:hAnsi="Arial" w:cs="Arial"/>
          <w:lang w:eastAsia="ko-KR"/>
        </w:rPr>
      </w:pPr>
      <w:r w:rsidRPr="001B7B43">
        <w:rPr>
          <w:rFonts w:ascii="Arial" w:hAnsi="Arial" w:cs="Arial"/>
          <w:lang w:eastAsia="ko-KR"/>
        </w:rPr>
        <w:t>However, RAN2 did not discuss whether E-LCP should be applied in the case of Non-</w:t>
      </w:r>
      <w:proofErr w:type="spellStart"/>
      <w:r w:rsidRPr="001B7B43">
        <w:rPr>
          <w:rFonts w:ascii="Arial" w:hAnsi="Arial" w:cs="Arial"/>
          <w:lang w:eastAsia="ko-KR"/>
        </w:rPr>
        <w:t>MCSt</w:t>
      </w:r>
      <w:proofErr w:type="spellEnd"/>
      <w:r w:rsidRPr="001B7B43">
        <w:rPr>
          <w:rFonts w:ascii="Arial" w:hAnsi="Arial" w:cs="Arial"/>
          <w:lang w:eastAsia="ko-KR"/>
        </w:rPr>
        <w:t xml:space="preserve"> using COT directly generated by the UE. Therefore, we share our view on t</w:t>
      </w:r>
      <w:r>
        <w:rPr>
          <w:rFonts w:ascii="Arial" w:hAnsi="Arial" w:cs="Arial"/>
          <w:lang w:eastAsia="ko-KR"/>
        </w:rPr>
        <w:t>his missing scenario as follows:</w:t>
      </w:r>
    </w:p>
    <w:p w14:paraId="0FEDC436" w14:textId="4BAEC160" w:rsidR="007229AD" w:rsidRDefault="007229AD" w:rsidP="00CE154B">
      <w:pPr>
        <w:jc w:val="both"/>
        <w:rPr>
          <w:rFonts w:ascii="Arial" w:hAnsi="Arial" w:cs="Arial"/>
          <w:lang w:eastAsia="ko-KR"/>
        </w:rPr>
      </w:pPr>
      <w:r w:rsidRPr="007229AD">
        <w:rPr>
          <w:rFonts w:ascii="Arial" w:hAnsi="Arial" w:cs="Arial"/>
          <w:lang w:eastAsia="ko-KR"/>
        </w:rPr>
        <w:t>RAN1 has made the agreement below regarding COT pause and COT resume.</w:t>
      </w:r>
    </w:p>
    <w:tbl>
      <w:tblPr>
        <w:tblStyle w:val="af4"/>
        <w:tblW w:w="0" w:type="auto"/>
        <w:tblLook w:val="04A0" w:firstRow="1" w:lastRow="0" w:firstColumn="1" w:lastColumn="0" w:noHBand="0" w:noVBand="1"/>
      </w:tblPr>
      <w:tblGrid>
        <w:gridCol w:w="9631"/>
      </w:tblGrid>
      <w:tr w:rsidR="007229AD" w14:paraId="11B19192" w14:textId="77777777" w:rsidTr="007229AD">
        <w:tc>
          <w:tcPr>
            <w:tcW w:w="9631" w:type="dxa"/>
          </w:tcPr>
          <w:p w14:paraId="33E82F63" w14:textId="77777777" w:rsidR="007229AD" w:rsidRPr="001B7B43" w:rsidRDefault="007229AD" w:rsidP="007229AD">
            <w:pPr>
              <w:jc w:val="both"/>
              <w:rPr>
                <w:rFonts w:ascii="Century" w:eastAsia="Times New Roman" w:hAnsi="Century"/>
                <w:b/>
                <w:bCs/>
                <w:kern w:val="2"/>
                <w:sz w:val="21"/>
                <w:szCs w:val="22"/>
                <w:lang w:val="en-US" w:eastAsia="x-none"/>
              </w:rPr>
            </w:pPr>
            <w:r w:rsidRPr="001B7B43">
              <w:rPr>
                <w:b/>
                <w:highlight w:val="green"/>
              </w:rPr>
              <w:t>Agreement</w:t>
            </w:r>
          </w:p>
          <w:p w14:paraId="067355DC" w14:textId="6D6EBA8F" w:rsidR="007229AD" w:rsidRDefault="007229AD" w:rsidP="007229AD">
            <w:pPr>
              <w:jc w:val="both"/>
              <w:rPr>
                <w:rFonts w:ascii="Arial" w:hAnsi="Arial" w:cs="Arial"/>
                <w:lang w:eastAsia="ko-KR"/>
              </w:rPr>
            </w:pPr>
            <w:r w:rsidRPr="001B7B43">
              <w:t>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w:t>
            </w:r>
          </w:p>
        </w:tc>
      </w:tr>
    </w:tbl>
    <w:p w14:paraId="5BC85724" w14:textId="619ED948" w:rsidR="007229AD" w:rsidRPr="007229AD" w:rsidRDefault="007229AD" w:rsidP="007229AD">
      <w:pPr>
        <w:jc w:val="both"/>
        <w:rPr>
          <w:rFonts w:ascii="Arial" w:hAnsi="Arial" w:cs="Arial"/>
          <w:lang w:eastAsia="ko-KR"/>
        </w:rPr>
      </w:pPr>
      <w:r w:rsidRPr="007229AD">
        <w:rPr>
          <w:rFonts w:ascii="Arial" w:hAnsi="Arial" w:cs="Arial"/>
          <w:lang w:eastAsia="ko-KR"/>
        </w:rPr>
        <w:t xml:space="preserve">RAN2 can discuss </w:t>
      </w:r>
      <w:r>
        <w:rPr>
          <w:rFonts w:ascii="Arial" w:hAnsi="Arial" w:cs="Arial" w:hint="eastAsia"/>
          <w:lang w:eastAsia="ko-KR"/>
        </w:rPr>
        <w:t xml:space="preserve">additional </w:t>
      </w:r>
      <w:r w:rsidRPr="007229AD">
        <w:rPr>
          <w:rFonts w:ascii="Arial" w:hAnsi="Arial" w:cs="Arial"/>
          <w:lang w:eastAsia="ko-KR"/>
        </w:rPr>
        <w:t>E-LCP scenarios based on this RAN1 agreement.</w:t>
      </w:r>
    </w:p>
    <w:p w14:paraId="4ECDDD42" w14:textId="3A429BC6" w:rsidR="007229AD" w:rsidRPr="007229AD" w:rsidRDefault="007229AD" w:rsidP="007229AD">
      <w:pPr>
        <w:jc w:val="both"/>
        <w:rPr>
          <w:rFonts w:ascii="Arial" w:hAnsi="Arial" w:cs="Arial"/>
          <w:lang w:eastAsia="ko-KR"/>
        </w:rPr>
      </w:pPr>
      <w:r w:rsidRPr="007229AD">
        <w:rPr>
          <w:rFonts w:ascii="Arial" w:hAnsi="Arial" w:cs="Arial" w:hint="eastAsia"/>
          <w:lang w:eastAsia="ko-KR"/>
        </w:rPr>
        <w:t>F</w:t>
      </w:r>
      <w:r w:rsidRPr="007229AD">
        <w:rPr>
          <w:rFonts w:ascii="Arial" w:hAnsi="Arial" w:cs="Arial"/>
          <w:lang w:eastAsia="ko-KR"/>
        </w:rPr>
        <w:t>or example</w:t>
      </w:r>
      <w:r w:rsidRPr="007229AD">
        <w:rPr>
          <w:rFonts w:ascii="Arial" w:hAnsi="Arial" w:cs="Arial" w:hint="eastAsia"/>
          <w:lang w:eastAsia="ko-KR"/>
        </w:rPr>
        <w:t>,</w:t>
      </w:r>
      <w:r w:rsidRPr="007229AD">
        <w:rPr>
          <w:rFonts w:ascii="Arial" w:hAnsi="Arial" w:cs="Arial"/>
          <w:lang w:eastAsia="ko-KR"/>
        </w:rPr>
        <w:t xml:space="preserve"> </w:t>
      </w:r>
    </w:p>
    <w:p w14:paraId="540F8873" w14:textId="067C4FBF" w:rsidR="001B7B43" w:rsidRDefault="007229AD" w:rsidP="007229AD">
      <w:pPr>
        <w:jc w:val="both"/>
        <w:rPr>
          <w:rFonts w:ascii="Arial" w:hAnsi="Arial" w:cs="Arial"/>
          <w:lang w:eastAsia="ko-KR"/>
        </w:rPr>
      </w:pPr>
      <w:r w:rsidRPr="007229AD">
        <w:rPr>
          <w:rFonts w:ascii="Arial" w:hAnsi="Arial" w:cs="Arial"/>
          <w:lang w:eastAsia="ko-KR"/>
        </w:rPr>
        <w:t>Slot 1: The UE that created the COT transmits TB1 in Slot 1</w:t>
      </w:r>
      <w:r>
        <w:rPr>
          <w:rFonts w:ascii="Arial" w:hAnsi="Arial" w:cs="Arial"/>
          <w:lang w:eastAsia="ko-KR"/>
        </w:rPr>
        <w:t>.</w:t>
      </w:r>
    </w:p>
    <w:p w14:paraId="6A0C0B54" w14:textId="7687E335" w:rsidR="007229AD" w:rsidRDefault="007229AD" w:rsidP="007229AD">
      <w:pPr>
        <w:jc w:val="both"/>
        <w:rPr>
          <w:rFonts w:ascii="Arial" w:hAnsi="Arial" w:cs="Arial"/>
          <w:lang w:eastAsia="ko-KR"/>
        </w:rPr>
      </w:pPr>
      <w:r w:rsidRPr="007229AD">
        <w:rPr>
          <w:rFonts w:ascii="Arial" w:hAnsi="Arial" w:cs="Arial"/>
          <w:lang w:eastAsia="ko-KR"/>
        </w:rPr>
        <w:t xml:space="preserve">Slot </w:t>
      </w:r>
      <w:r>
        <w:rPr>
          <w:rFonts w:ascii="Arial" w:hAnsi="Arial" w:cs="Arial"/>
          <w:lang w:eastAsia="ko-KR"/>
        </w:rPr>
        <w:t>2</w:t>
      </w:r>
      <w:r w:rsidRPr="007229AD">
        <w:rPr>
          <w:rFonts w:ascii="Arial" w:hAnsi="Arial" w:cs="Arial"/>
          <w:lang w:eastAsia="ko-KR"/>
        </w:rPr>
        <w:t>:</w:t>
      </w:r>
      <w:r>
        <w:rPr>
          <w:rFonts w:ascii="Arial" w:hAnsi="Arial" w:cs="Arial"/>
          <w:lang w:eastAsia="ko-KR"/>
        </w:rPr>
        <w:t xml:space="preserve"> </w:t>
      </w:r>
      <w:r w:rsidRPr="007229AD">
        <w:rPr>
          <w:rFonts w:ascii="Arial" w:hAnsi="Arial" w:cs="Arial"/>
          <w:lang w:eastAsia="ko-KR"/>
        </w:rPr>
        <w:t>The UE that created the COT stops its transmission in slot 2</w:t>
      </w:r>
      <w:r>
        <w:rPr>
          <w:rFonts w:ascii="Arial" w:hAnsi="Arial" w:cs="Arial"/>
          <w:lang w:eastAsia="ko-KR"/>
        </w:rPr>
        <w:t>.</w:t>
      </w:r>
    </w:p>
    <w:p w14:paraId="5624526D" w14:textId="181E0E15" w:rsidR="007229AD" w:rsidRPr="007229AD" w:rsidRDefault="007229AD" w:rsidP="007229AD">
      <w:pPr>
        <w:jc w:val="both"/>
        <w:rPr>
          <w:rFonts w:ascii="Arial" w:hAnsi="Arial" w:cs="Arial"/>
          <w:lang w:eastAsia="ko-KR"/>
        </w:rPr>
      </w:pPr>
      <w:r>
        <w:rPr>
          <w:rFonts w:ascii="Arial" w:hAnsi="Arial" w:cs="Arial" w:hint="eastAsia"/>
          <w:lang w:eastAsia="ko-KR"/>
        </w:rPr>
        <w:t>S</w:t>
      </w:r>
      <w:r>
        <w:rPr>
          <w:rFonts w:ascii="Arial" w:hAnsi="Arial" w:cs="Arial"/>
          <w:lang w:eastAsia="ko-KR"/>
        </w:rPr>
        <w:t xml:space="preserve">lot 3: </w:t>
      </w:r>
      <w:r w:rsidR="00AF168C" w:rsidRPr="00AF168C">
        <w:rPr>
          <w:rFonts w:ascii="Arial" w:hAnsi="Arial" w:cs="Arial"/>
          <w:lang w:eastAsia="ko-KR"/>
        </w:rPr>
        <w:t>The UE that created cot transmits TB 2 in slot 3.</w:t>
      </w:r>
    </w:p>
    <w:p w14:paraId="58DB6080" w14:textId="23F6E749" w:rsidR="009669A4" w:rsidRPr="009669A4" w:rsidRDefault="009669A4" w:rsidP="009669A4">
      <w:pPr>
        <w:jc w:val="both"/>
        <w:rPr>
          <w:rFonts w:ascii="Arial" w:hAnsi="Arial" w:cs="Arial"/>
          <w:lang w:eastAsia="ko-KR"/>
        </w:rPr>
      </w:pPr>
      <w:r w:rsidRPr="009669A4">
        <w:rPr>
          <w:rFonts w:ascii="Arial" w:hAnsi="Arial" w:cs="Arial"/>
          <w:lang w:eastAsia="ko-KR"/>
        </w:rPr>
        <w:t xml:space="preserve">When transmitting </w:t>
      </w:r>
      <w:r>
        <w:rPr>
          <w:rFonts w:ascii="Arial" w:hAnsi="Arial" w:cs="Arial"/>
          <w:lang w:eastAsia="ko-KR"/>
        </w:rPr>
        <w:t xml:space="preserve">the </w:t>
      </w:r>
      <w:r w:rsidRPr="009669A4">
        <w:rPr>
          <w:rFonts w:ascii="Arial" w:hAnsi="Arial" w:cs="Arial"/>
          <w:lang w:eastAsia="ko-KR"/>
        </w:rPr>
        <w:t>TB 2</w:t>
      </w:r>
      <w:r>
        <w:rPr>
          <w:rFonts w:ascii="Arial" w:hAnsi="Arial" w:cs="Arial"/>
          <w:lang w:eastAsia="ko-KR"/>
        </w:rPr>
        <w:t xml:space="preserve"> in the slot 3 within the created COT</w:t>
      </w:r>
      <w:r w:rsidRPr="009669A4">
        <w:rPr>
          <w:rFonts w:ascii="Arial" w:hAnsi="Arial" w:cs="Arial"/>
          <w:lang w:eastAsia="ko-KR"/>
        </w:rPr>
        <w:t>, the UE can apply E-LCP if CAPC condition</w:t>
      </w:r>
      <w:r>
        <w:rPr>
          <w:rFonts w:ascii="Arial" w:hAnsi="Arial" w:cs="Arial"/>
          <w:lang w:eastAsia="ko-KR"/>
        </w:rPr>
        <w:t xml:space="preserve"> (e.g., TB 2</w:t>
      </w:r>
      <w:r w:rsidRPr="009669A4">
        <w:rPr>
          <w:rFonts w:ascii="Arial" w:hAnsi="Arial" w:cs="Arial"/>
          <w:lang w:eastAsia="ko-KR"/>
        </w:rPr>
        <w:t xml:space="preserve"> has an equal or smaller CAPC value than the CAPC value </w:t>
      </w:r>
      <w:r>
        <w:rPr>
          <w:rFonts w:ascii="Arial" w:hAnsi="Arial" w:cs="Arial"/>
          <w:lang w:eastAsia="ko-KR"/>
        </w:rPr>
        <w:t>of TB 1)</w:t>
      </w:r>
      <w:r w:rsidRPr="009669A4">
        <w:rPr>
          <w:rFonts w:ascii="Arial" w:hAnsi="Arial" w:cs="Arial"/>
          <w:lang w:eastAsia="ko-KR"/>
        </w:rPr>
        <w:t xml:space="preserve"> are met.</w:t>
      </w:r>
    </w:p>
    <w:p w14:paraId="32B0F9F9" w14:textId="2A3D3D2C" w:rsidR="001B7B43" w:rsidRPr="009669A4" w:rsidRDefault="009669A4" w:rsidP="00343666">
      <w:pPr>
        <w:jc w:val="both"/>
        <w:rPr>
          <w:rFonts w:ascii="Arial" w:hAnsi="Arial" w:cs="Arial"/>
          <w:b/>
          <w:lang w:eastAsia="ko-KR"/>
        </w:rPr>
      </w:pPr>
      <w:r w:rsidRPr="009669A4">
        <w:rPr>
          <w:rFonts w:ascii="Arial" w:hAnsi="Arial" w:cs="Arial"/>
          <w:b/>
          <w:lang w:eastAsia="ko-KR"/>
        </w:rPr>
        <w:t>Proposal 1.</w:t>
      </w:r>
      <w:r w:rsidR="001B7B43" w:rsidRPr="009669A4">
        <w:rPr>
          <w:rFonts w:ascii="Arial" w:hAnsi="Arial" w:cs="Arial" w:hint="eastAsia"/>
          <w:b/>
          <w:lang w:eastAsia="ko-KR"/>
        </w:rPr>
        <w:t xml:space="preserve"> </w:t>
      </w:r>
      <w:r w:rsidR="00343666" w:rsidRPr="00343666">
        <w:rPr>
          <w:rFonts w:ascii="Arial" w:hAnsi="Arial" w:cs="Arial"/>
          <w:b/>
          <w:lang w:eastAsia="ko-KR"/>
        </w:rPr>
        <w:t>The UE can apply E-LCP when pausing and resuming the COT it created.</w:t>
      </w:r>
    </w:p>
    <w:p w14:paraId="4B1A6028" w14:textId="3DE7F6EC" w:rsidR="009669A4" w:rsidRDefault="009669A4" w:rsidP="009669A4">
      <w:pPr>
        <w:jc w:val="both"/>
        <w:rPr>
          <w:rFonts w:ascii="Arial" w:hAnsi="Arial" w:cs="Arial"/>
          <w:lang w:eastAsia="ko-KR"/>
        </w:rPr>
      </w:pPr>
    </w:p>
    <w:p w14:paraId="06F895CD" w14:textId="4A979EAB" w:rsidR="00343666" w:rsidRDefault="004000A6" w:rsidP="009669A4">
      <w:pPr>
        <w:jc w:val="both"/>
        <w:rPr>
          <w:rFonts w:ascii="Arial" w:hAnsi="Arial" w:cs="Arial"/>
          <w:lang w:eastAsia="ko-KR"/>
        </w:rPr>
      </w:pPr>
      <w:r w:rsidRPr="004000A6">
        <w:rPr>
          <w:rFonts w:ascii="Arial" w:hAnsi="Arial" w:cs="Arial"/>
          <w:lang w:eastAsia="ko-KR"/>
        </w:rPr>
        <w:t>Another COT resume case is when the COT Initiating UE retrieves and uses the COT shared with the COT Responding UE. In this regard, RAN1 has made the agreement below.</w:t>
      </w:r>
      <w:r w:rsidR="00343666">
        <w:rPr>
          <w:rFonts w:ascii="Arial" w:hAnsi="Arial" w:cs="Arial"/>
          <w:lang w:eastAsia="ko-KR"/>
        </w:rPr>
        <w:t xml:space="preserve">  </w:t>
      </w:r>
    </w:p>
    <w:tbl>
      <w:tblPr>
        <w:tblStyle w:val="af4"/>
        <w:tblW w:w="0" w:type="auto"/>
        <w:tblLook w:val="04A0" w:firstRow="1" w:lastRow="0" w:firstColumn="1" w:lastColumn="0" w:noHBand="0" w:noVBand="1"/>
      </w:tblPr>
      <w:tblGrid>
        <w:gridCol w:w="9631"/>
      </w:tblGrid>
      <w:tr w:rsidR="009669A4" w14:paraId="7646FF50" w14:textId="77777777" w:rsidTr="00BF563E">
        <w:tc>
          <w:tcPr>
            <w:tcW w:w="9631" w:type="dxa"/>
          </w:tcPr>
          <w:p w14:paraId="3C21F530" w14:textId="77777777" w:rsidR="009669A4" w:rsidRPr="00A7774F" w:rsidRDefault="009669A4" w:rsidP="009669A4">
            <w:pPr>
              <w:jc w:val="both"/>
              <w:rPr>
                <w:b/>
                <w:highlight w:val="green"/>
              </w:rPr>
            </w:pPr>
            <w:r w:rsidRPr="00A7774F">
              <w:rPr>
                <w:b/>
                <w:highlight w:val="green"/>
              </w:rPr>
              <w:t>Agreement</w:t>
            </w:r>
          </w:p>
          <w:p w14:paraId="7DC81531" w14:textId="77777777" w:rsidR="009669A4" w:rsidRPr="00A7774F" w:rsidRDefault="009669A4" w:rsidP="009669A4">
            <w:pPr>
              <w:jc w:val="both"/>
            </w:pPr>
            <w:r w:rsidRPr="00A7774F">
              <w:t>For the case where a COT initiating UE uses Type 1 channel access procedure to initiate a SL transmission, in order to support the COT initiating UE to resume its transmission(s) within the same channel occupancy after a COT responding UE’s transmission,</w:t>
            </w:r>
          </w:p>
          <w:p w14:paraId="7FE1E212" w14:textId="77777777" w:rsidR="009669A4" w:rsidRPr="00A7774F" w:rsidRDefault="009669A4" w:rsidP="009669A4">
            <w:pPr>
              <w:numPr>
                <w:ilvl w:val="0"/>
                <w:numId w:val="28"/>
              </w:numPr>
              <w:spacing w:after="0"/>
              <w:jc w:val="both"/>
              <w:rPr>
                <w:lang w:val="en-US" w:eastAsia="x-none"/>
              </w:rPr>
            </w:pPr>
            <w:r w:rsidRPr="00A7774F">
              <w:rPr>
                <w:lang w:val="en-US" w:eastAsia="x-none"/>
              </w:rPr>
              <w:t xml:space="preserve">If the COT initiator UE determines the TX gap between responding UE’s SL transmission and the initiator UE’s resumed transmission, </w:t>
            </w:r>
          </w:p>
          <w:p w14:paraId="17AAD4B0" w14:textId="77777777" w:rsidR="009669A4" w:rsidRPr="00A7774F" w:rsidRDefault="009669A4" w:rsidP="009669A4">
            <w:pPr>
              <w:numPr>
                <w:ilvl w:val="1"/>
                <w:numId w:val="28"/>
              </w:numPr>
              <w:spacing w:after="0"/>
              <w:jc w:val="both"/>
              <w:rPr>
                <w:lang w:val="en-US" w:eastAsia="x-none"/>
              </w:rPr>
            </w:pPr>
            <w:r w:rsidRPr="00A7774F">
              <w:rPr>
                <w:lang w:eastAsia="x-none"/>
              </w:rPr>
              <w:lastRenderedPageBreak/>
              <w:t>The COT initiating UE performs Type 2A, or Type 2B, or Type 2C SL channel access procedures if the gap is at least 25μs, or equal to 16μs, or up to 16μs, respectively.</w:t>
            </w:r>
          </w:p>
          <w:p w14:paraId="4B402136" w14:textId="0FAE1911" w:rsidR="009669A4" w:rsidRDefault="009669A4" w:rsidP="009669A4">
            <w:pPr>
              <w:numPr>
                <w:ilvl w:val="0"/>
                <w:numId w:val="28"/>
              </w:numPr>
              <w:spacing w:after="0"/>
              <w:jc w:val="both"/>
              <w:rPr>
                <w:rFonts w:ascii="Arial" w:hAnsi="Arial" w:cs="Arial"/>
                <w:lang w:eastAsia="ko-KR"/>
              </w:rPr>
            </w:pPr>
            <w:r w:rsidRPr="00A7774F">
              <w:rPr>
                <w:lang w:eastAsia="x-none"/>
              </w:rPr>
              <w:t>Otherwise, the COT initiating UE</w:t>
            </w:r>
            <w:r w:rsidRPr="00A7774F">
              <w:rPr>
                <w:color w:val="FF0000"/>
                <w:lang w:eastAsia="x-none"/>
              </w:rPr>
              <w:t xml:space="preserve"> </w:t>
            </w:r>
            <w:r w:rsidRPr="00A7774F">
              <w:rPr>
                <w:lang w:eastAsia="x-none"/>
              </w:rPr>
              <w:t>performs Type 2A SL channel access procedures to resume its SL transmission.</w:t>
            </w:r>
          </w:p>
        </w:tc>
      </w:tr>
    </w:tbl>
    <w:p w14:paraId="0D44FF6B" w14:textId="1A46586C" w:rsidR="004000A6" w:rsidRPr="007229AD" w:rsidRDefault="004000A6" w:rsidP="004000A6">
      <w:pPr>
        <w:jc w:val="both"/>
        <w:rPr>
          <w:rFonts w:ascii="Arial" w:hAnsi="Arial" w:cs="Arial"/>
          <w:lang w:eastAsia="ko-KR"/>
        </w:rPr>
      </w:pPr>
      <w:r w:rsidRPr="007229AD">
        <w:rPr>
          <w:rFonts w:ascii="Arial" w:hAnsi="Arial" w:cs="Arial"/>
          <w:lang w:eastAsia="ko-KR"/>
        </w:rPr>
        <w:lastRenderedPageBreak/>
        <w:t xml:space="preserve">RAN2 can discuss E-LCP scenarios based on </w:t>
      </w:r>
      <w:r>
        <w:rPr>
          <w:rFonts w:ascii="Arial" w:hAnsi="Arial" w:cs="Arial" w:hint="eastAsia"/>
          <w:lang w:eastAsia="ko-KR"/>
        </w:rPr>
        <w:t xml:space="preserve">above </w:t>
      </w:r>
      <w:r w:rsidRPr="007229AD">
        <w:rPr>
          <w:rFonts w:ascii="Arial" w:hAnsi="Arial" w:cs="Arial"/>
          <w:lang w:eastAsia="ko-KR"/>
        </w:rPr>
        <w:t>RAN1 agreement.</w:t>
      </w:r>
    </w:p>
    <w:p w14:paraId="2B076D0F" w14:textId="77777777" w:rsidR="004000A6" w:rsidRPr="007229AD" w:rsidRDefault="004000A6" w:rsidP="004000A6">
      <w:pPr>
        <w:jc w:val="both"/>
        <w:rPr>
          <w:rFonts w:ascii="Arial" w:hAnsi="Arial" w:cs="Arial"/>
          <w:lang w:eastAsia="ko-KR"/>
        </w:rPr>
      </w:pPr>
      <w:r w:rsidRPr="007229AD">
        <w:rPr>
          <w:rFonts w:ascii="Arial" w:hAnsi="Arial" w:cs="Arial" w:hint="eastAsia"/>
          <w:lang w:eastAsia="ko-KR"/>
        </w:rPr>
        <w:t>F</w:t>
      </w:r>
      <w:r w:rsidRPr="007229AD">
        <w:rPr>
          <w:rFonts w:ascii="Arial" w:hAnsi="Arial" w:cs="Arial"/>
          <w:lang w:eastAsia="ko-KR"/>
        </w:rPr>
        <w:t>or example</w:t>
      </w:r>
      <w:r w:rsidRPr="007229AD">
        <w:rPr>
          <w:rFonts w:ascii="Arial" w:hAnsi="Arial" w:cs="Arial" w:hint="eastAsia"/>
          <w:lang w:eastAsia="ko-KR"/>
        </w:rPr>
        <w:t>,</w:t>
      </w:r>
      <w:r w:rsidRPr="007229AD">
        <w:rPr>
          <w:rFonts w:ascii="Arial" w:hAnsi="Arial" w:cs="Arial"/>
          <w:lang w:eastAsia="ko-KR"/>
        </w:rPr>
        <w:t xml:space="preserve"> </w:t>
      </w:r>
    </w:p>
    <w:p w14:paraId="56EFB356" w14:textId="22858077" w:rsidR="004000A6" w:rsidRDefault="004000A6" w:rsidP="004000A6">
      <w:pPr>
        <w:jc w:val="both"/>
        <w:rPr>
          <w:rFonts w:ascii="Arial" w:hAnsi="Arial" w:cs="Arial"/>
          <w:lang w:eastAsia="ko-KR"/>
        </w:rPr>
      </w:pPr>
      <w:r w:rsidRPr="007229AD">
        <w:rPr>
          <w:rFonts w:ascii="Arial" w:hAnsi="Arial" w:cs="Arial"/>
          <w:lang w:eastAsia="ko-KR"/>
        </w:rPr>
        <w:t xml:space="preserve">Slot 1: </w:t>
      </w:r>
      <w:r w:rsidRPr="004000A6">
        <w:rPr>
          <w:rFonts w:ascii="Arial" w:hAnsi="Arial" w:cs="Arial"/>
          <w:lang w:eastAsia="ko-KR"/>
        </w:rPr>
        <w:t>When the COT Initiating UE transmits TB 1</w:t>
      </w:r>
      <w:r w:rsidR="007655DF">
        <w:rPr>
          <w:rFonts w:ascii="Arial" w:hAnsi="Arial" w:cs="Arial"/>
          <w:lang w:eastAsia="ko-KR"/>
        </w:rPr>
        <w:t xml:space="preserve"> </w:t>
      </w:r>
      <w:r w:rsidR="007655DF">
        <w:rPr>
          <w:rFonts w:ascii="Arial" w:hAnsi="Arial" w:cs="Arial" w:hint="eastAsia"/>
          <w:lang w:eastAsia="ko-KR"/>
        </w:rPr>
        <w:t xml:space="preserve">in </w:t>
      </w:r>
      <w:r w:rsidR="007655DF">
        <w:rPr>
          <w:rFonts w:ascii="Arial" w:hAnsi="Arial" w:cs="Arial"/>
          <w:lang w:eastAsia="ko-KR"/>
        </w:rPr>
        <w:t>slot 1</w:t>
      </w:r>
      <w:r w:rsidRPr="004000A6">
        <w:rPr>
          <w:rFonts w:ascii="Arial" w:hAnsi="Arial" w:cs="Arial"/>
          <w:lang w:eastAsia="ko-KR"/>
        </w:rPr>
        <w:t>, it also transmits shared COT to the COT Responding UE.</w:t>
      </w:r>
    </w:p>
    <w:p w14:paraId="44BFD0BE" w14:textId="3BC716CB" w:rsidR="004000A6" w:rsidRDefault="004000A6" w:rsidP="004000A6">
      <w:pPr>
        <w:jc w:val="both"/>
        <w:rPr>
          <w:rFonts w:ascii="Arial" w:hAnsi="Arial" w:cs="Arial"/>
          <w:lang w:eastAsia="ko-KR"/>
        </w:rPr>
      </w:pPr>
      <w:r w:rsidRPr="007229AD">
        <w:rPr>
          <w:rFonts w:ascii="Arial" w:hAnsi="Arial" w:cs="Arial"/>
          <w:lang w:eastAsia="ko-KR"/>
        </w:rPr>
        <w:t xml:space="preserve">Slot </w:t>
      </w:r>
      <w:r>
        <w:rPr>
          <w:rFonts w:ascii="Arial" w:hAnsi="Arial" w:cs="Arial"/>
          <w:lang w:eastAsia="ko-KR"/>
        </w:rPr>
        <w:t>2</w:t>
      </w:r>
      <w:r w:rsidRPr="007229AD">
        <w:rPr>
          <w:rFonts w:ascii="Arial" w:hAnsi="Arial" w:cs="Arial"/>
          <w:lang w:eastAsia="ko-KR"/>
        </w:rPr>
        <w:t>:</w:t>
      </w:r>
      <w:r>
        <w:rPr>
          <w:rFonts w:ascii="Arial" w:hAnsi="Arial" w:cs="Arial"/>
          <w:lang w:eastAsia="ko-KR"/>
        </w:rPr>
        <w:t xml:space="preserve"> </w:t>
      </w:r>
      <w:r w:rsidR="00295360" w:rsidRPr="00295360">
        <w:rPr>
          <w:rFonts w:ascii="Arial" w:hAnsi="Arial" w:cs="Arial"/>
          <w:lang w:eastAsia="ko-KR"/>
        </w:rPr>
        <w:t>The COT Responding UE transmits SL data using the shared COT received from the COT Initiating UE</w:t>
      </w:r>
      <w:r w:rsidR="00295360">
        <w:rPr>
          <w:rFonts w:ascii="Arial" w:hAnsi="Arial" w:cs="Arial"/>
          <w:lang w:eastAsia="ko-KR"/>
        </w:rPr>
        <w:t xml:space="preserve"> </w:t>
      </w:r>
      <w:r w:rsidR="00295360">
        <w:rPr>
          <w:rFonts w:ascii="Arial" w:hAnsi="Arial" w:cs="Arial" w:hint="eastAsia"/>
          <w:lang w:eastAsia="ko-KR"/>
        </w:rPr>
        <w:t xml:space="preserve">in </w:t>
      </w:r>
      <w:r w:rsidR="00295360">
        <w:rPr>
          <w:rFonts w:ascii="Arial" w:hAnsi="Arial" w:cs="Arial"/>
          <w:lang w:eastAsia="ko-KR"/>
        </w:rPr>
        <w:t>slot 2</w:t>
      </w:r>
      <w:r w:rsidR="00295360" w:rsidRPr="00295360">
        <w:rPr>
          <w:rFonts w:ascii="Arial" w:hAnsi="Arial" w:cs="Arial"/>
          <w:lang w:eastAsia="ko-KR"/>
        </w:rPr>
        <w:t>.</w:t>
      </w:r>
    </w:p>
    <w:p w14:paraId="0DB7F573" w14:textId="589D419F" w:rsidR="004000A6" w:rsidRPr="007229AD" w:rsidRDefault="004000A6" w:rsidP="004000A6">
      <w:pPr>
        <w:jc w:val="both"/>
        <w:rPr>
          <w:rFonts w:ascii="Arial" w:hAnsi="Arial" w:cs="Arial"/>
          <w:lang w:eastAsia="ko-KR"/>
        </w:rPr>
      </w:pPr>
      <w:r>
        <w:rPr>
          <w:rFonts w:ascii="Arial" w:hAnsi="Arial" w:cs="Arial" w:hint="eastAsia"/>
          <w:lang w:eastAsia="ko-KR"/>
        </w:rPr>
        <w:t>S</w:t>
      </w:r>
      <w:r>
        <w:rPr>
          <w:rFonts w:ascii="Arial" w:hAnsi="Arial" w:cs="Arial"/>
          <w:lang w:eastAsia="ko-KR"/>
        </w:rPr>
        <w:t xml:space="preserve">lot 3: </w:t>
      </w:r>
      <w:r w:rsidR="00B35796" w:rsidRPr="00B35796">
        <w:rPr>
          <w:rFonts w:ascii="Arial" w:hAnsi="Arial" w:cs="Arial"/>
          <w:lang w:eastAsia="ko-KR"/>
        </w:rPr>
        <w:t xml:space="preserve">COT Initiating UE transmits TB2 </w:t>
      </w:r>
      <w:r w:rsidR="00B35796">
        <w:rPr>
          <w:rFonts w:ascii="Arial" w:hAnsi="Arial" w:cs="Arial"/>
          <w:lang w:eastAsia="ko-KR"/>
        </w:rPr>
        <w:t xml:space="preserve">in slot 3 </w:t>
      </w:r>
      <w:r w:rsidR="00B35796" w:rsidRPr="00B35796">
        <w:rPr>
          <w:rFonts w:ascii="Arial" w:hAnsi="Arial" w:cs="Arial"/>
          <w:lang w:eastAsia="ko-KR"/>
        </w:rPr>
        <w:t>within shared COT to COT Responding UE.</w:t>
      </w:r>
    </w:p>
    <w:p w14:paraId="5CA0DF48" w14:textId="065EF8F6" w:rsidR="00B35796" w:rsidRPr="009669A4" w:rsidRDefault="00B35796" w:rsidP="00B35796">
      <w:pPr>
        <w:jc w:val="both"/>
        <w:rPr>
          <w:rFonts w:ascii="Arial" w:hAnsi="Arial" w:cs="Arial"/>
          <w:lang w:eastAsia="ko-KR"/>
        </w:rPr>
      </w:pPr>
      <w:r w:rsidRPr="009669A4">
        <w:rPr>
          <w:rFonts w:ascii="Arial" w:hAnsi="Arial" w:cs="Arial"/>
          <w:lang w:eastAsia="ko-KR"/>
        </w:rPr>
        <w:t xml:space="preserve">When </w:t>
      </w:r>
      <w:r>
        <w:rPr>
          <w:rFonts w:ascii="Arial" w:hAnsi="Arial" w:cs="Arial"/>
          <w:lang w:eastAsia="ko-KR"/>
        </w:rPr>
        <w:t xml:space="preserve">the COT Initiating UE </w:t>
      </w:r>
      <w:r w:rsidRPr="009669A4">
        <w:rPr>
          <w:rFonts w:ascii="Arial" w:hAnsi="Arial" w:cs="Arial"/>
          <w:lang w:eastAsia="ko-KR"/>
        </w:rPr>
        <w:t>transmit</w:t>
      </w:r>
      <w:r>
        <w:rPr>
          <w:rFonts w:ascii="Arial" w:hAnsi="Arial" w:cs="Arial"/>
          <w:lang w:eastAsia="ko-KR"/>
        </w:rPr>
        <w:t>s</w:t>
      </w:r>
      <w:r w:rsidRPr="009669A4">
        <w:rPr>
          <w:rFonts w:ascii="Arial" w:hAnsi="Arial" w:cs="Arial"/>
          <w:lang w:eastAsia="ko-KR"/>
        </w:rPr>
        <w:t xml:space="preserve"> </w:t>
      </w:r>
      <w:r>
        <w:rPr>
          <w:rFonts w:ascii="Arial" w:hAnsi="Arial" w:cs="Arial"/>
          <w:lang w:eastAsia="ko-KR"/>
        </w:rPr>
        <w:t xml:space="preserve">the </w:t>
      </w:r>
      <w:r w:rsidRPr="009669A4">
        <w:rPr>
          <w:rFonts w:ascii="Arial" w:hAnsi="Arial" w:cs="Arial"/>
          <w:lang w:eastAsia="ko-KR"/>
        </w:rPr>
        <w:t>TB 2</w:t>
      </w:r>
      <w:r>
        <w:rPr>
          <w:rFonts w:ascii="Arial" w:hAnsi="Arial" w:cs="Arial"/>
          <w:lang w:eastAsia="ko-KR"/>
        </w:rPr>
        <w:t xml:space="preserve"> in the slot 3 within the shared COT</w:t>
      </w:r>
      <w:r w:rsidRPr="009669A4">
        <w:rPr>
          <w:rFonts w:ascii="Arial" w:hAnsi="Arial" w:cs="Arial"/>
          <w:lang w:eastAsia="ko-KR"/>
        </w:rPr>
        <w:t xml:space="preserve">, the </w:t>
      </w:r>
      <w:r>
        <w:rPr>
          <w:rFonts w:ascii="Arial" w:hAnsi="Arial" w:cs="Arial"/>
          <w:lang w:eastAsia="ko-KR"/>
        </w:rPr>
        <w:t>COT Initiating UE</w:t>
      </w:r>
      <w:r w:rsidRPr="009669A4">
        <w:rPr>
          <w:rFonts w:ascii="Arial" w:hAnsi="Arial" w:cs="Arial"/>
          <w:lang w:eastAsia="ko-KR"/>
        </w:rPr>
        <w:t xml:space="preserve"> can apply E-LCP if CAPC condition</w:t>
      </w:r>
      <w:r>
        <w:rPr>
          <w:rFonts w:ascii="Arial" w:hAnsi="Arial" w:cs="Arial"/>
          <w:lang w:eastAsia="ko-KR"/>
        </w:rPr>
        <w:t xml:space="preserve"> (e.g., TB 2</w:t>
      </w:r>
      <w:r w:rsidRPr="009669A4">
        <w:rPr>
          <w:rFonts w:ascii="Arial" w:hAnsi="Arial" w:cs="Arial"/>
          <w:lang w:eastAsia="ko-KR"/>
        </w:rPr>
        <w:t xml:space="preserve"> has an equal or smaller CAPC value than the CAPC value </w:t>
      </w:r>
      <w:r>
        <w:rPr>
          <w:rFonts w:ascii="Arial" w:hAnsi="Arial" w:cs="Arial"/>
          <w:lang w:eastAsia="ko-KR"/>
        </w:rPr>
        <w:t>of TB 1)</w:t>
      </w:r>
      <w:r w:rsidRPr="009669A4">
        <w:rPr>
          <w:rFonts w:ascii="Arial" w:hAnsi="Arial" w:cs="Arial"/>
          <w:lang w:eastAsia="ko-KR"/>
        </w:rPr>
        <w:t xml:space="preserve"> are met.</w:t>
      </w:r>
    </w:p>
    <w:p w14:paraId="226FF6F4" w14:textId="32A0E24E" w:rsidR="004B171D" w:rsidRDefault="00B35796" w:rsidP="004B171D">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2</w:t>
      </w:r>
      <w:r w:rsidRPr="009669A4">
        <w:rPr>
          <w:rFonts w:ascii="Arial" w:hAnsi="Arial" w:cs="Arial"/>
          <w:b/>
          <w:lang w:eastAsia="ko-KR"/>
        </w:rPr>
        <w:t>.</w:t>
      </w:r>
      <w:r w:rsidRPr="009669A4">
        <w:rPr>
          <w:rFonts w:ascii="Arial" w:hAnsi="Arial" w:cs="Arial" w:hint="eastAsia"/>
          <w:b/>
          <w:lang w:eastAsia="ko-KR"/>
        </w:rPr>
        <w:t xml:space="preserve"> </w:t>
      </w:r>
      <w:r w:rsidRPr="00B35796">
        <w:rPr>
          <w:rFonts w:ascii="Arial" w:hAnsi="Arial" w:cs="Arial"/>
          <w:b/>
          <w:lang w:eastAsia="ko-KR"/>
        </w:rPr>
        <w:t xml:space="preserve">The COT Initiating UE can apply E-LCP when resuming </w:t>
      </w:r>
      <w:r>
        <w:rPr>
          <w:rFonts w:ascii="Arial" w:hAnsi="Arial" w:cs="Arial"/>
          <w:b/>
          <w:lang w:eastAsia="ko-KR"/>
        </w:rPr>
        <w:t xml:space="preserve">its </w:t>
      </w:r>
      <w:r w:rsidRPr="00B35796">
        <w:rPr>
          <w:rFonts w:ascii="Arial" w:hAnsi="Arial" w:cs="Arial"/>
          <w:b/>
          <w:lang w:eastAsia="ko-KR"/>
        </w:rPr>
        <w:t>transmission within a shared COT shared with the COT Responding UE.</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104D18E6" w:rsidR="001370B7" w:rsidRPr="0056444B" w:rsidRDefault="001370B7" w:rsidP="001370B7">
      <w:pPr>
        <w:jc w:val="both"/>
        <w:rPr>
          <w:rFonts w:ascii="Arial" w:hAnsi="Arial" w:cs="Arial"/>
          <w:lang w:eastAsia="ko-KR"/>
        </w:rPr>
      </w:pPr>
      <w:r w:rsidRPr="0056444B">
        <w:rPr>
          <w:rFonts w:ascii="Arial" w:hAnsi="Arial" w:cs="Arial"/>
          <w:lang w:eastAsia="ko-KR"/>
        </w:rPr>
        <w:t xml:space="preserve">This contribution </w:t>
      </w:r>
      <w:r w:rsidR="00F51382" w:rsidRPr="0056444B">
        <w:rPr>
          <w:rFonts w:ascii="Arial" w:hAnsi="Arial" w:cs="Arial"/>
          <w:lang w:eastAsia="ko-KR"/>
        </w:rPr>
        <w:t>presented</w:t>
      </w:r>
      <w:r w:rsidRPr="0056444B">
        <w:rPr>
          <w:rFonts w:ascii="Arial" w:hAnsi="Arial" w:cs="Arial"/>
          <w:lang w:eastAsia="ko-KR"/>
        </w:rPr>
        <w:t xml:space="preserve"> </w:t>
      </w:r>
      <w:r w:rsidR="00B41BF2" w:rsidRPr="0056444B">
        <w:rPr>
          <w:rFonts w:ascii="Arial" w:hAnsi="Arial" w:cs="Arial"/>
          <w:lang w:eastAsia="ko-KR"/>
        </w:rPr>
        <w:t>our view</w:t>
      </w:r>
      <w:r w:rsidR="007B4E97" w:rsidRPr="0056444B">
        <w:rPr>
          <w:rFonts w:ascii="Arial" w:hAnsi="Arial" w:cs="Arial"/>
          <w:lang w:eastAsia="ko-KR"/>
        </w:rPr>
        <w:t>s</w:t>
      </w:r>
      <w:r w:rsidRPr="0056444B">
        <w:rPr>
          <w:rFonts w:ascii="Arial" w:hAnsi="Arial" w:cs="Arial"/>
          <w:lang w:eastAsia="ko-KR"/>
        </w:rPr>
        <w:t xml:space="preserve"> </w:t>
      </w:r>
      <w:r w:rsidR="00F51382" w:rsidRPr="0056444B">
        <w:rPr>
          <w:rFonts w:ascii="Arial" w:hAnsi="Arial" w:cs="Arial"/>
          <w:lang w:eastAsia="ko-KR"/>
        </w:rPr>
        <w:t>on</w:t>
      </w:r>
      <w:r w:rsidRPr="0056444B">
        <w:rPr>
          <w:rFonts w:ascii="Arial" w:hAnsi="Arial" w:cs="Arial"/>
          <w:lang w:eastAsia="ko-KR"/>
        </w:rPr>
        <w:t xml:space="preserve"> </w:t>
      </w:r>
      <w:r w:rsidR="0054298A">
        <w:rPr>
          <w:rFonts w:ascii="Arial" w:hAnsi="Arial" w:cs="Arial"/>
          <w:lang w:val="en-US" w:eastAsia="ko-KR"/>
        </w:rPr>
        <w:t xml:space="preserve">remaining issue for </w:t>
      </w:r>
      <w:proofErr w:type="spellStart"/>
      <w:r w:rsidR="0054298A">
        <w:rPr>
          <w:rFonts w:ascii="Arial" w:hAnsi="Arial" w:cs="Arial"/>
          <w:lang w:val="en-US" w:eastAsia="ko-KR"/>
        </w:rPr>
        <w:t>MCSt</w:t>
      </w:r>
      <w:proofErr w:type="spellEnd"/>
      <w:r w:rsidRPr="0056444B">
        <w:rPr>
          <w:rFonts w:ascii="Arial" w:hAnsi="Arial" w:cs="Arial"/>
          <w:lang w:eastAsia="ko-KR"/>
        </w:rPr>
        <w:t>, which can be summarized as follows</w:t>
      </w:r>
      <w:r w:rsidR="008814EA" w:rsidRPr="0056444B">
        <w:rPr>
          <w:rFonts w:ascii="Arial" w:hAnsi="Arial" w:cs="Arial"/>
          <w:lang w:eastAsia="ko-KR"/>
        </w:rPr>
        <w:t>:</w:t>
      </w:r>
    </w:p>
    <w:p w14:paraId="1F50D9E5" w14:textId="77777777" w:rsidR="008B232D" w:rsidRPr="009669A4" w:rsidRDefault="008B232D" w:rsidP="008B232D">
      <w:pPr>
        <w:jc w:val="both"/>
        <w:rPr>
          <w:rFonts w:ascii="Arial" w:hAnsi="Arial" w:cs="Arial"/>
          <w:b/>
          <w:lang w:eastAsia="ko-KR"/>
        </w:rPr>
      </w:pPr>
      <w:r w:rsidRPr="009669A4">
        <w:rPr>
          <w:rFonts w:ascii="Arial" w:hAnsi="Arial" w:cs="Arial"/>
          <w:b/>
          <w:lang w:eastAsia="ko-KR"/>
        </w:rPr>
        <w:t>Proposal 1.</w:t>
      </w:r>
      <w:r w:rsidRPr="009669A4">
        <w:rPr>
          <w:rFonts w:ascii="Arial" w:hAnsi="Arial" w:cs="Arial" w:hint="eastAsia"/>
          <w:b/>
          <w:lang w:eastAsia="ko-KR"/>
        </w:rPr>
        <w:t xml:space="preserve"> </w:t>
      </w:r>
      <w:r w:rsidRPr="00343666">
        <w:rPr>
          <w:rFonts w:ascii="Arial" w:hAnsi="Arial" w:cs="Arial"/>
          <w:b/>
          <w:lang w:eastAsia="ko-KR"/>
        </w:rPr>
        <w:t>The UE can apply E-LCP when pausing and resuming the COT it created.</w:t>
      </w:r>
    </w:p>
    <w:p w14:paraId="7A604C8B" w14:textId="072D1A83" w:rsidR="00F87C5D" w:rsidRPr="0056444B" w:rsidRDefault="008B232D" w:rsidP="003E2FAF">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2</w:t>
      </w:r>
      <w:r w:rsidRPr="009669A4">
        <w:rPr>
          <w:rFonts w:ascii="Arial" w:hAnsi="Arial" w:cs="Arial"/>
          <w:b/>
          <w:lang w:eastAsia="ko-KR"/>
        </w:rPr>
        <w:t>.</w:t>
      </w:r>
      <w:r w:rsidRPr="009669A4">
        <w:rPr>
          <w:rFonts w:ascii="Arial" w:hAnsi="Arial" w:cs="Arial" w:hint="eastAsia"/>
          <w:b/>
          <w:lang w:eastAsia="ko-KR"/>
        </w:rPr>
        <w:t xml:space="preserve"> </w:t>
      </w:r>
      <w:r w:rsidRPr="00B35796">
        <w:rPr>
          <w:rFonts w:ascii="Arial" w:hAnsi="Arial" w:cs="Arial"/>
          <w:b/>
          <w:lang w:eastAsia="ko-KR"/>
        </w:rPr>
        <w:t xml:space="preserve">The COT Initiating UE can apply E-LCP when resuming </w:t>
      </w:r>
      <w:r>
        <w:rPr>
          <w:rFonts w:ascii="Arial" w:hAnsi="Arial" w:cs="Arial"/>
          <w:b/>
          <w:lang w:eastAsia="ko-KR"/>
        </w:rPr>
        <w:t xml:space="preserve">its </w:t>
      </w:r>
      <w:r w:rsidRPr="00B35796">
        <w:rPr>
          <w:rFonts w:ascii="Arial" w:hAnsi="Arial" w:cs="Arial"/>
          <w:b/>
          <w:lang w:eastAsia="ko-KR"/>
        </w:rPr>
        <w:t>transmission within a shared COT shared with the COT Responding UE.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34325197" w:rsidR="00A97AC2" w:rsidRPr="0056444B" w:rsidRDefault="00DE6E94" w:rsidP="006D0F7E">
      <w:pPr>
        <w:rPr>
          <w:rFonts w:ascii="Arial" w:hAnsi="Arial" w:cs="Arial"/>
        </w:rPr>
      </w:pPr>
      <w:r w:rsidRPr="0056444B">
        <w:rPr>
          <w:rFonts w:ascii="Arial" w:hAnsi="Arial" w:cs="Arial"/>
        </w:rPr>
        <w:t xml:space="preserve">[1] </w:t>
      </w:r>
      <w:r w:rsidR="008B232D" w:rsidRPr="006451E4">
        <w:rPr>
          <w:rFonts w:ascii="Arial" w:hAnsi="Arial" w:cs="Arial"/>
        </w:rPr>
        <w:t>R2-2311271, Report from session on LTE V2X and NR SL</w:t>
      </w:r>
      <w:r w:rsidR="008B232D">
        <w:rPr>
          <w:rFonts w:ascii="Arial" w:hAnsi="Arial" w:cs="Arial"/>
        </w:rPr>
        <w:t xml:space="preserve"> (Samsung)</w:t>
      </w:r>
    </w:p>
    <w:sectPr w:rsidR="00A97AC2" w:rsidRPr="0056444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F1E10" w14:textId="77777777" w:rsidR="00806CFE" w:rsidRDefault="00806CFE">
      <w:pPr>
        <w:pStyle w:val="1"/>
      </w:pPr>
      <w:r>
        <w:separator/>
      </w:r>
    </w:p>
  </w:endnote>
  <w:endnote w:type="continuationSeparator" w:id="0">
    <w:p w14:paraId="3B7AF77E" w14:textId="77777777" w:rsidR="00806CFE" w:rsidRDefault="00806CF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BCFDDE6"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1598B">
      <w:rPr>
        <w:rStyle w:val="af1"/>
      </w:rPr>
      <w:t>2</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A12FB" w14:textId="77777777" w:rsidR="00806CFE" w:rsidRDefault="00806CFE">
      <w:pPr>
        <w:pStyle w:val="1"/>
      </w:pPr>
      <w:r>
        <w:separator/>
      </w:r>
    </w:p>
  </w:footnote>
  <w:footnote w:type="continuationSeparator" w:id="0">
    <w:p w14:paraId="7AAA499D" w14:textId="77777777" w:rsidR="00806CFE" w:rsidRDefault="00806CFE">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7"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8"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3"/>
  </w:num>
  <w:num w:numId="4">
    <w:abstractNumId w:val="27"/>
  </w:num>
  <w:num w:numId="5">
    <w:abstractNumId w:val="14"/>
  </w:num>
  <w:num w:numId="6">
    <w:abstractNumId w:val="25"/>
  </w:num>
  <w:num w:numId="7">
    <w:abstractNumId w:val="9"/>
  </w:num>
  <w:num w:numId="8">
    <w:abstractNumId w:val="22"/>
  </w:num>
  <w:num w:numId="9">
    <w:abstractNumId w:val="24"/>
  </w:num>
  <w:num w:numId="10">
    <w:abstractNumId w:val="7"/>
  </w:num>
  <w:num w:numId="11">
    <w:abstractNumId w:val="2"/>
  </w:num>
  <w:num w:numId="12">
    <w:abstractNumId w:val="18"/>
  </w:num>
  <w:num w:numId="13">
    <w:abstractNumId w:val="19"/>
  </w:num>
  <w:num w:numId="14">
    <w:abstractNumId w:val="23"/>
  </w:num>
  <w:num w:numId="15">
    <w:abstractNumId w:val="16"/>
  </w:num>
  <w:num w:numId="16">
    <w:abstractNumId w:val="21"/>
  </w:num>
  <w:num w:numId="17">
    <w:abstractNumId w:val="17"/>
  </w:num>
  <w:num w:numId="18">
    <w:abstractNumId w:val="10"/>
  </w:num>
  <w:num w:numId="19">
    <w:abstractNumId w:val="26"/>
  </w:num>
  <w:num w:numId="20">
    <w:abstractNumId w:val="3"/>
  </w:num>
  <w:num w:numId="21">
    <w:abstractNumId w:val="15"/>
  </w:num>
  <w:num w:numId="22">
    <w:abstractNumId w:val="6"/>
  </w:num>
  <w:num w:numId="23">
    <w:abstractNumId w:val="4"/>
  </w:num>
  <w:num w:numId="24">
    <w:abstractNumId w:val="11"/>
  </w:num>
  <w:num w:numId="25">
    <w:abstractNumId w:val="5"/>
  </w:num>
  <w:num w:numId="26">
    <w:abstractNumId w:val="8"/>
  </w:num>
  <w:num w:numId="27">
    <w:abstractNumId w:val="20"/>
  </w:num>
  <w:num w:numId="2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2F9"/>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1A4"/>
    <w:rsid w:val="000C7345"/>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6315"/>
    <w:rsid w:val="00116F59"/>
    <w:rsid w:val="001177DD"/>
    <w:rsid w:val="0011780B"/>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DCB"/>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43"/>
    <w:rsid w:val="001B7BBB"/>
    <w:rsid w:val="001B7C11"/>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642"/>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6D"/>
    <w:rsid w:val="002316EE"/>
    <w:rsid w:val="00231C70"/>
    <w:rsid w:val="002325DC"/>
    <w:rsid w:val="002338D8"/>
    <w:rsid w:val="00233F0E"/>
    <w:rsid w:val="00233F52"/>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0FC0"/>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360"/>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3171"/>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465"/>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6"/>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666"/>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9D"/>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6E"/>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100"/>
    <w:rsid w:val="003D238A"/>
    <w:rsid w:val="003D2F69"/>
    <w:rsid w:val="003D3063"/>
    <w:rsid w:val="003D3578"/>
    <w:rsid w:val="003D392D"/>
    <w:rsid w:val="003D3D16"/>
    <w:rsid w:val="003D44F4"/>
    <w:rsid w:val="003D4F49"/>
    <w:rsid w:val="003D52B5"/>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FAF"/>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A6"/>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F8C"/>
    <w:rsid w:val="004142E9"/>
    <w:rsid w:val="00414421"/>
    <w:rsid w:val="00414C53"/>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163"/>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E1D"/>
    <w:rsid w:val="004A6164"/>
    <w:rsid w:val="004A7DCA"/>
    <w:rsid w:val="004B0285"/>
    <w:rsid w:val="004B02A4"/>
    <w:rsid w:val="004B0821"/>
    <w:rsid w:val="004B1144"/>
    <w:rsid w:val="004B14E9"/>
    <w:rsid w:val="004B171D"/>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12"/>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3FCE"/>
    <w:rsid w:val="005346E7"/>
    <w:rsid w:val="005347A5"/>
    <w:rsid w:val="00535534"/>
    <w:rsid w:val="005355C0"/>
    <w:rsid w:val="005356A1"/>
    <w:rsid w:val="00535C8F"/>
    <w:rsid w:val="00536018"/>
    <w:rsid w:val="005372A8"/>
    <w:rsid w:val="00540354"/>
    <w:rsid w:val="0054061C"/>
    <w:rsid w:val="00540E02"/>
    <w:rsid w:val="00541691"/>
    <w:rsid w:val="00542431"/>
    <w:rsid w:val="0054253D"/>
    <w:rsid w:val="005426DC"/>
    <w:rsid w:val="00542873"/>
    <w:rsid w:val="0054298A"/>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44B"/>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1DD"/>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3DE"/>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71E"/>
    <w:rsid w:val="00671ABC"/>
    <w:rsid w:val="00671D1B"/>
    <w:rsid w:val="006729B6"/>
    <w:rsid w:val="00672FAB"/>
    <w:rsid w:val="006739BA"/>
    <w:rsid w:val="00674A9E"/>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ED"/>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3D"/>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0FC8"/>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984"/>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220"/>
    <w:rsid w:val="00715410"/>
    <w:rsid w:val="00715559"/>
    <w:rsid w:val="007156E4"/>
    <w:rsid w:val="00715703"/>
    <w:rsid w:val="0071598B"/>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9A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6C5"/>
    <w:rsid w:val="00744A47"/>
    <w:rsid w:val="00745187"/>
    <w:rsid w:val="0074570E"/>
    <w:rsid w:val="00745C41"/>
    <w:rsid w:val="00745D26"/>
    <w:rsid w:val="0074662F"/>
    <w:rsid w:val="00746CD2"/>
    <w:rsid w:val="00747519"/>
    <w:rsid w:val="00747B01"/>
    <w:rsid w:val="00750822"/>
    <w:rsid w:val="0075116B"/>
    <w:rsid w:val="00751742"/>
    <w:rsid w:val="00751BC0"/>
    <w:rsid w:val="00752A22"/>
    <w:rsid w:val="00752AB8"/>
    <w:rsid w:val="00753A21"/>
    <w:rsid w:val="00753EDC"/>
    <w:rsid w:val="007543D8"/>
    <w:rsid w:val="0075465A"/>
    <w:rsid w:val="0075486F"/>
    <w:rsid w:val="00755654"/>
    <w:rsid w:val="00755765"/>
    <w:rsid w:val="00755B49"/>
    <w:rsid w:val="00755DFA"/>
    <w:rsid w:val="00756E16"/>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5DF"/>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55D"/>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1E7"/>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1"/>
    <w:rsid w:val="00806A5B"/>
    <w:rsid w:val="00806CFE"/>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183"/>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005"/>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BE8"/>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ECE"/>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132"/>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32D"/>
    <w:rsid w:val="008B264A"/>
    <w:rsid w:val="008B2675"/>
    <w:rsid w:val="008B2B18"/>
    <w:rsid w:val="008B30F3"/>
    <w:rsid w:val="008B3177"/>
    <w:rsid w:val="008B32A5"/>
    <w:rsid w:val="008B389C"/>
    <w:rsid w:val="008B3A24"/>
    <w:rsid w:val="008B3D28"/>
    <w:rsid w:val="008B3FB4"/>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07CF"/>
    <w:rsid w:val="00900CEC"/>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A4"/>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E059C"/>
    <w:rsid w:val="009E0D77"/>
    <w:rsid w:val="009E13F9"/>
    <w:rsid w:val="009E1556"/>
    <w:rsid w:val="009E1DAE"/>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865"/>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38C"/>
    <w:rsid w:val="00A32D4D"/>
    <w:rsid w:val="00A33248"/>
    <w:rsid w:val="00A33299"/>
    <w:rsid w:val="00A3333D"/>
    <w:rsid w:val="00A335F4"/>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6D5"/>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A73"/>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3D9A"/>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68C"/>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8D7"/>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79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4A7"/>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E42"/>
    <w:rsid w:val="00BA7FAB"/>
    <w:rsid w:val="00BB031B"/>
    <w:rsid w:val="00BB0579"/>
    <w:rsid w:val="00BB0C10"/>
    <w:rsid w:val="00BB0CFA"/>
    <w:rsid w:val="00BB0EFF"/>
    <w:rsid w:val="00BB12C6"/>
    <w:rsid w:val="00BB19A1"/>
    <w:rsid w:val="00BB22F5"/>
    <w:rsid w:val="00BB24AE"/>
    <w:rsid w:val="00BB2ABA"/>
    <w:rsid w:val="00BB3F50"/>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B7D"/>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400"/>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726"/>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51"/>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CCD"/>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4B"/>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075E"/>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1A49"/>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08D8"/>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6F34"/>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2B"/>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1F"/>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87C5D"/>
    <w:rsid w:val="00F90094"/>
    <w:rsid w:val="00F91EE2"/>
    <w:rsid w:val="00F920A3"/>
    <w:rsid w:val="00F92739"/>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CA"/>
    <w:rsid w:val="00FA136B"/>
    <w:rsid w:val="00FA146D"/>
    <w:rsid w:val="00FA14C1"/>
    <w:rsid w:val="00FA17A0"/>
    <w:rsid w:val="00FA19E7"/>
    <w:rsid w:val="00FA22E0"/>
    <w:rsid w:val="00FA2438"/>
    <w:rsid w:val="00FA2F22"/>
    <w:rsid w:val="00FA3316"/>
    <w:rsid w:val="00FA3448"/>
    <w:rsid w:val="00FA38DC"/>
    <w:rsid w:val="00FA3917"/>
    <w:rsid w:val="00FA3D46"/>
    <w:rsid w:val="00FA45DA"/>
    <w:rsid w:val="00FA4C44"/>
    <w:rsid w:val="00FA4D04"/>
    <w:rsid w:val="00FA5B43"/>
    <w:rsid w:val="00FA5D9E"/>
    <w:rsid w:val="00FA5F53"/>
    <w:rsid w:val="00FA6847"/>
    <w:rsid w:val="00FA698B"/>
    <w:rsid w:val="00FA6994"/>
    <w:rsid w:val="00FA6BA5"/>
    <w:rsid w:val="00FA76C3"/>
    <w:rsid w:val="00FA78A4"/>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3EB5"/>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D197B7D-0CA7-422B-BE50-1777EECC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538952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B5496-536C-48CC-BA93-F935B7F7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1187</TotalTime>
  <Pages>2</Pages>
  <Words>540</Words>
  <Characters>3078</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Park(4)</cp:lastModifiedBy>
  <cp:revision>55</cp:revision>
  <cp:lastPrinted>2014-08-09T03:01:00Z</cp:lastPrinted>
  <dcterms:created xsi:type="dcterms:W3CDTF">2023-04-06T01:30:00Z</dcterms:created>
  <dcterms:modified xsi:type="dcterms:W3CDTF">2023-11-03T04:25:00Z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